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Informace o oznamování protiprávního jednání dle zákona č. 171/2023 Sb., o ochraně oznamovatelů, ve znění pozdějších předpisů (dále jen Zákon)</w:t>
      </w:r>
    </w:p>
    <w:p w:rsidR="00000000" w:rsidDel="00000000" w:rsidP="00000000" w:rsidRDefault="00000000" w:rsidRPr="00000000" w14:paraId="00000002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Městský dům kultury Karviná (dále jen „MěDK“) je povinným subjektem dle Zákona a má pro přijetí oznámení dle tohoto zákona zřízen </w:t>
      </w:r>
      <w:r w:rsidDel="00000000" w:rsidR="00000000" w:rsidRPr="00000000">
        <w:rPr>
          <w:b w:val="1"/>
          <w:sz w:val="18"/>
          <w:szCs w:val="18"/>
          <w:rtl w:val="0"/>
        </w:rPr>
        <w:t xml:space="preserve">vnitřní oznamovací systém.</w:t>
      </w:r>
    </w:p>
    <w:p w:rsidR="00000000" w:rsidDel="00000000" w:rsidP="00000000" w:rsidRDefault="00000000" w:rsidRPr="00000000" w14:paraId="00000003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Smyslem ochrany oznamovatelů (whistleblowerů), tedy osob, které oznámí protiprávní jednání </w:t>
      </w:r>
      <w:r w:rsidDel="00000000" w:rsidR="00000000" w:rsidRPr="00000000">
        <w:rPr>
          <w:i w:val="1"/>
          <w:sz w:val="18"/>
          <w:szCs w:val="18"/>
          <w:rtl w:val="0"/>
        </w:rPr>
        <w:t xml:space="preserve">v souvislosti s prací nebo jinou obdobnou činností</w:t>
      </w:r>
      <w:r w:rsidDel="00000000" w:rsidR="00000000" w:rsidRPr="00000000">
        <w:rPr>
          <w:i w:val="1"/>
          <w:sz w:val="18"/>
          <w:szCs w:val="18"/>
          <w:vertAlign w:val="superscript"/>
          <w:rtl w:val="0"/>
        </w:rPr>
        <w:t xml:space="preserve">1)</w:t>
      </w:r>
      <w:r w:rsidDel="00000000" w:rsidR="00000000" w:rsidRPr="00000000">
        <w:rPr>
          <w:sz w:val="18"/>
          <w:szCs w:val="18"/>
          <w:rtl w:val="0"/>
        </w:rPr>
        <w:t xml:space="preserve">, je vytvořit takové prostředí, ve kterém se oznamovatelé nebudou muset obávat jakékoliv sankce pro případ, že protiprávní jednání oznámí, a přispět tak ochraně veřejného zájmu.</w:t>
      </w:r>
    </w:p>
    <w:p w:rsidR="00000000" w:rsidDel="00000000" w:rsidP="00000000" w:rsidRDefault="00000000" w:rsidRPr="00000000" w14:paraId="00000004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Oznamovatelé</w:t>
      </w:r>
      <w:r w:rsidDel="00000000" w:rsidR="00000000" w:rsidRPr="00000000">
        <w:rPr>
          <w:sz w:val="18"/>
          <w:szCs w:val="18"/>
          <w:rtl w:val="0"/>
        </w:rPr>
        <w:t xml:space="preserve"> mají nárok na ochranu, pokud měli oprávněné důvody se domnívat, že oznámené informace o porušení byly v době </w:t>
      </w:r>
      <w:r w:rsidDel="00000000" w:rsidR="00000000" w:rsidRPr="00000000">
        <w:rPr>
          <w:b w:val="1"/>
          <w:sz w:val="18"/>
          <w:szCs w:val="18"/>
          <w:rtl w:val="0"/>
        </w:rPr>
        <w:t xml:space="preserve">oznámení pravdivé</w:t>
      </w:r>
      <w:r w:rsidDel="00000000" w:rsidR="00000000" w:rsidRPr="00000000">
        <w:rPr>
          <w:sz w:val="18"/>
          <w:szCs w:val="18"/>
          <w:rtl w:val="0"/>
        </w:rPr>
        <w:t xml:space="preserve"> (oznamovatel nesmí učinit oznámení vědomě nepravdivé – takové oznámení může být sankcionováno) a že tyto informace spadaly do oblasti působnosti zákona </w:t>
      </w:r>
      <w:r w:rsidDel="00000000" w:rsidR="00000000" w:rsidRPr="00000000">
        <w:rPr>
          <w:i w:val="1"/>
          <w:sz w:val="18"/>
          <w:szCs w:val="18"/>
          <w:rtl w:val="0"/>
        </w:rPr>
        <w:t xml:space="preserve">(viz informace níže v odstavci „Oznámení“).</w:t>
      </w:r>
    </w:p>
    <w:p w:rsidR="00000000" w:rsidDel="00000000" w:rsidP="00000000" w:rsidRDefault="00000000" w:rsidRPr="00000000" w14:paraId="00000005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Vnitřní oznamovací systém MěDK:</w:t>
      </w:r>
    </w:p>
    <w:p w:rsidR="00000000" w:rsidDel="00000000" w:rsidP="00000000" w:rsidRDefault="00000000" w:rsidRPr="00000000" w14:paraId="00000007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Příslušná osoba pro příjem a prošetřování oznámení dle Zákona:</w:t>
      </w:r>
    </w:p>
    <w:p w:rsidR="00000000" w:rsidDel="00000000" w:rsidP="00000000" w:rsidRDefault="00000000" w:rsidRPr="00000000" w14:paraId="00000008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Petra Rybová</w:t>
      </w:r>
      <w:r w:rsidDel="00000000" w:rsidR="00000000" w:rsidRPr="00000000">
        <w:rPr>
          <w:sz w:val="18"/>
          <w:szCs w:val="18"/>
          <w:rtl w:val="0"/>
        </w:rPr>
        <w:t xml:space="preserve">, tel. 724 221 342</w:t>
      </w:r>
    </w:p>
    <w:p w:rsidR="00000000" w:rsidDel="00000000" w:rsidP="00000000" w:rsidRDefault="00000000" w:rsidRPr="00000000" w14:paraId="00000009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Ing. Daniela Helisová</w:t>
      </w:r>
      <w:r w:rsidDel="00000000" w:rsidR="00000000" w:rsidRPr="00000000">
        <w:rPr>
          <w:sz w:val="18"/>
          <w:szCs w:val="18"/>
          <w:rtl w:val="0"/>
        </w:rPr>
        <w:t xml:space="preserve"> tel. 724 166 964 (</w:t>
      </w:r>
      <w:r w:rsidDel="00000000" w:rsidR="00000000" w:rsidRPr="00000000">
        <w:rPr>
          <w:b w:val="1"/>
          <w:sz w:val="18"/>
          <w:szCs w:val="18"/>
          <w:rtl w:val="0"/>
        </w:rPr>
        <w:t xml:space="preserve">zástupce příslušné osoby v době nepřítomnosti)</w:t>
      </w:r>
    </w:p>
    <w:p w:rsidR="00000000" w:rsidDel="00000000" w:rsidP="00000000" w:rsidRDefault="00000000" w:rsidRPr="00000000" w14:paraId="0000000A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Oznámení lze příslušné osobě podat následujícími způsoby: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ústně </w:t>
      </w:r>
      <w:r w:rsidDel="00000000" w:rsidR="00000000" w:rsidRPr="00000000">
        <w:rPr>
          <w:sz w:val="18"/>
          <w:szCs w:val="18"/>
          <w:rtl w:val="0"/>
        </w:rPr>
        <w:t xml:space="preserve">(osobně) v budově MěDK na adrese tř. Osvobození 1639/43, 735 06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Karviná-Nové Město</w:t>
      </w:r>
      <w:r w:rsidDel="00000000" w:rsidR="00000000" w:rsidRPr="00000000">
        <w:rPr>
          <w:sz w:val="18"/>
          <w:szCs w:val="18"/>
          <w:rtl w:val="0"/>
        </w:rPr>
        <w:t xml:space="preserve">, a to po předchozí telefonní domluvě s příslušnou osobou. O ústním podání bude vyhotoven písemný zápis, ke kterému se oznamovatel vyjádří.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písemně </w:t>
      </w:r>
      <w:r w:rsidDel="00000000" w:rsidR="00000000" w:rsidRPr="00000000">
        <w:rPr>
          <w:sz w:val="18"/>
          <w:szCs w:val="18"/>
          <w:rtl w:val="0"/>
        </w:rPr>
        <w:t xml:space="preserve">(poštou) na adresu tř. Osvobození 1639/43, 735 06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Karviná-Nové Město</w:t>
      </w:r>
      <w:r w:rsidDel="00000000" w:rsidR="00000000" w:rsidRPr="00000000">
        <w:rPr>
          <w:sz w:val="18"/>
          <w:szCs w:val="18"/>
          <w:rtl w:val="0"/>
        </w:rPr>
        <w:t xml:space="preserve">. Takto podané oznámení musí být zasláno v zalepené obálce, která musí být čitelně označena nápisem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„Neotvírat, určeno pro příslušnou osobu“</w:t>
      </w:r>
      <w:r w:rsidDel="00000000" w:rsidR="00000000" w:rsidRPr="00000000">
        <w:rPr>
          <w:sz w:val="18"/>
          <w:szCs w:val="18"/>
          <w:rtl w:val="0"/>
        </w:rPr>
        <w:t xml:space="preserve">. U oznámení v písemné formě prosím uveďte svoje jméno, příjmení, bydliště, e-mail, telefon, a to pro potřeby zpětného kontaktu.   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telefonicky </w:t>
      </w:r>
      <w:r w:rsidDel="00000000" w:rsidR="00000000" w:rsidRPr="00000000">
        <w:rPr>
          <w:sz w:val="18"/>
          <w:szCs w:val="18"/>
          <w:rtl w:val="0"/>
        </w:rPr>
        <w:t xml:space="preserve">příslušné osobě</w:t>
      </w:r>
      <w:r w:rsidDel="00000000" w:rsidR="00000000" w:rsidRPr="00000000">
        <w:rPr>
          <w:b w:val="1"/>
          <w:sz w:val="18"/>
          <w:szCs w:val="18"/>
          <w:rtl w:val="0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Petra Rybová – 724 221 342, Ing. Daniela Helisová – 724 166 964. O telefonickém podání bude vyhotoven písemný zápis, ke kterému se oznamovatel vyjádří.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09" w:hanging="28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elektronicky </w:t>
      </w:r>
      <w:r w:rsidDel="00000000" w:rsidR="00000000" w:rsidRPr="00000000">
        <w:rPr>
          <w:sz w:val="18"/>
          <w:szCs w:val="18"/>
          <w:rtl w:val="0"/>
        </w:rPr>
        <w:t xml:space="preserve">na e-mailové adrese: </w:t>
      </w:r>
      <w:hyperlink r:id="rId6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oznameni.zooz@medk.cz</w:t>
        </w:r>
      </w:hyperlink>
      <w:r w:rsidDel="00000000" w:rsidR="00000000" w:rsidRPr="00000000">
        <w:rPr>
          <w:sz w:val="18"/>
          <w:szCs w:val="18"/>
          <w:rtl w:val="0"/>
        </w:rPr>
        <w:t xml:space="preserve">. U oznámení v e-mailové podobě prosím uveďte své jméno, příjmení, bydliště, telefon, a to pro potřeby zpětného kontaktu.   </w:t>
      </w:r>
    </w:p>
    <w:p w:rsidR="00000000" w:rsidDel="00000000" w:rsidP="00000000" w:rsidRDefault="00000000" w:rsidRPr="00000000" w14:paraId="00000010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Příslušná osoba do 7 dnů vyrozumí oznamovatele o přijetí oznámení.  Dále příslušná osoba posoudí důvodnost oznámení a písemně vyrozumí oznamovatele o výsledcích posouzení do 30 dnů od ode dne přijetí oznámení. V případě skutkově nebo právně složitých případech lze tuto lhůtu prodloužit až o 30 dnů, nejvýše však dvakrát. </w:t>
      </w:r>
    </w:p>
    <w:p w:rsidR="00000000" w:rsidDel="00000000" w:rsidP="00000000" w:rsidRDefault="00000000" w:rsidRPr="00000000" w14:paraId="00000011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Oznamovatel nebude vyrozuměn, pokud výslovně požádal, aby nebyl vyrozuměn nebo pokud je zřejmé, že by vyrozuměním došlo k prozrazení jeho totožnosti. Toto platí obdobně pro poskytování potvrzení o přijetí oznámení.</w:t>
      </w:r>
    </w:p>
    <w:p w:rsidR="00000000" w:rsidDel="00000000" w:rsidP="00000000" w:rsidRDefault="00000000" w:rsidRPr="00000000" w14:paraId="00000012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Přijímání a vyřizování podnětů v rámci tohoto systému je technicky i organizačně nastaveno takovým způsobem, aby nedošlo ke zmaření nebo ohrožení účelu podávání oznámení a byla zajištěna ochrana oznamovatelů a dalších osob dle Zákona.  </w:t>
      </w:r>
    </w:p>
    <w:p w:rsidR="00000000" w:rsidDel="00000000" w:rsidP="00000000" w:rsidRDefault="00000000" w:rsidRPr="00000000" w14:paraId="00000013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 oznámením má přístup pouze pověřená osoba, která o jejich obsahu a osobách oznamovatelů zachovává mlčenlivost a prověřuje je tak, aby byla utajena totožnost oznamovatelů.</w:t>
      </w:r>
    </w:p>
    <w:p w:rsidR="00000000" w:rsidDel="00000000" w:rsidP="00000000" w:rsidRDefault="00000000" w:rsidRPr="00000000" w14:paraId="00000014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Příslušná osoba neposkytne informace, které by mohly zmařit nebo ohrozit účel podávání oznámení.</w:t>
      </w:r>
    </w:p>
    <w:p w:rsidR="00000000" w:rsidDel="00000000" w:rsidP="00000000" w:rsidRDefault="00000000" w:rsidRPr="00000000" w14:paraId="00000015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Informace o totožnosti oznamovatele a osob je možné poskytnout jen s jejich písemným souhlasem, ledaže je příslušná osoba povinna tyto informace poskytnout příslušným orgánům veřejné moci podle jiných právních předpisů; to platí i pro informace o totožnosti osoby uvedené v oznámení.</w:t>
      </w:r>
    </w:p>
    <w:p w:rsidR="00000000" w:rsidDel="00000000" w:rsidP="00000000" w:rsidRDefault="00000000" w:rsidRPr="00000000" w14:paraId="00000016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Poskytuje-li příslušná osoba informaci o totožnosti oznamovatele orgánu veřejné moci, je povinna o tom předem oznamovatele vyrozumět společně s důvody, pro které je povinna informaci o totožnosti poskytnout, a umožnit oznamovateli, aby se k poskytnutí informace vyjádřil.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Oznámení</w:t>
      </w:r>
    </w:p>
    <w:p w:rsidR="00000000" w:rsidDel="00000000" w:rsidP="00000000" w:rsidRDefault="00000000" w:rsidRPr="00000000" w14:paraId="00000019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Oznámení fyzické osoby („oznamovatele“) obsahuje informace o možném protiprávním jednání, k němuž </w:t>
      </w:r>
      <w:r w:rsidDel="00000000" w:rsidR="00000000" w:rsidRPr="00000000">
        <w:rPr>
          <w:b w:val="1"/>
          <w:sz w:val="18"/>
          <w:szCs w:val="18"/>
          <w:rtl w:val="0"/>
        </w:rPr>
        <w:t xml:space="preserve">došlo nebo má dojít u osoby, pro niž oznamovatel, byť zprostředkovaně, vykonával nebo vykonává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práci nebo jinou obdobnou činnost</w:t>
      </w:r>
      <w:r w:rsidDel="00000000" w:rsidR="00000000" w:rsidRPr="00000000">
        <w:rPr>
          <w:b w:val="1"/>
          <w:i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b w:val="1"/>
          <w:sz w:val="18"/>
          <w:szCs w:val="18"/>
          <w:rtl w:val="0"/>
        </w:rPr>
        <w:t xml:space="preserve">, nebo u osoby, se kterou oznamovatel byl nebo je v kontaktu v souvislosti 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výkonem práce nebo jiné obdobné činnosti</w:t>
      </w:r>
      <w:r w:rsidDel="00000000" w:rsidR="00000000" w:rsidRPr="00000000">
        <w:rPr>
          <w:b w:val="1"/>
          <w:i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b w:val="1"/>
          <w:sz w:val="18"/>
          <w:szCs w:val="18"/>
          <w:rtl w:val="0"/>
        </w:rPr>
        <w:t xml:space="preserve">) a které: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má znaky trestného činu,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má znaky přestupku, za který stanoví sazbu pokuty, jejíž horní hranice je alespoň 100 000 Kč,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porušuje Zákon o ochraně oznamovatelů nebo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porušuje jiný právní předpis Evropské unie v oblasti: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finančních služeb, povinného auditu a jiných ověřovacích služeb, finančních produktů a finančních trhů,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daně z příjmů právnických osob,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předcházení legalizaci výnosů z trestné činnosti a financování terorismu,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ochrany spotřebitele,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souladu s požadavky na výrobky včetně jejich bezpečnosti,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bezpečnosti dopravy, přepravy a provozu na pozemních komunikacích,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ochrany životního prostředí,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bezpečnosti potravin a krmiv a ochrany zvířat a jejich zdraví,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radiační ochrany a jaderné bezpečnosti,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hospodářské soutěže, veřejných dražeb a zadávání veřejných zakázek,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ochrany vnitřního pořádku a bezpečnosti, života a zdraví,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ochrany osobních údajů, soukromí a bezpečnosti sítí elektronických komunikací a informačních systémů,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ochrany finančních zájmů Evropské unie, nebo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993" w:hanging="142.00000000000003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fungování vnitřního trhu včetně ochrany hospodářské soutěže a státní podpory podle práva Evropské unie.</w:t>
      </w:r>
    </w:p>
    <w:p w:rsidR="00000000" w:rsidDel="00000000" w:rsidP="00000000" w:rsidRDefault="00000000" w:rsidRPr="00000000" w14:paraId="0000002C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MěDK nevylučuje přijímání oznámení od osob, z podání osoby, které nevykonávají práci nebo jinou obdobnou činnost podle § 2 odst. 3 písm. a), b), h) nebo i) Zákona </w:t>
      </w:r>
      <w:r w:rsidDel="00000000" w:rsidR="00000000" w:rsidRPr="00000000">
        <w:rPr>
          <w:sz w:val="18"/>
          <w:szCs w:val="18"/>
          <w:rtl w:val="0"/>
        </w:rPr>
        <w:t xml:space="preserve">(např. osoby samostatně výdělečně činné, dobrovolníci, dodavatelé a poskytovatelé jiných služeb pro organizaci apod.).</w:t>
      </w:r>
    </w:p>
    <w:p w:rsidR="00000000" w:rsidDel="00000000" w:rsidP="00000000" w:rsidRDefault="00000000" w:rsidRPr="00000000" w14:paraId="0000002E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Oznámení</w:t>
      </w:r>
      <w:r w:rsidDel="00000000" w:rsidR="00000000" w:rsidRPr="00000000">
        <w:rPr>
          <w:sz w:val="18"/>
          <w:szCs w:val="18"/>
          <w:rtl w:val="0"/>
        </w:rPr>
        <w:t xml:space="preserve"> podle Zákona je možné podat také prostřednictvím vnějšího oznamovacího systému vedeného ministerstvem spravedlnosti </w:t>
      </w:r>
      <w:hyperlink r:id="rId7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https://oznamovatel.justice.cz/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Odkazy na právní předpisy: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Zákon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č. 171/2023 Sb., o ochraně oznamovatelů</w:t>
      </w:r>
      <w:r w:rsidDel="00000000" w:rsidR="00000000" w:rsidRPr="00000000">
        <w:rPr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https://www.zakonyprolidi.cz/cs/2023-171?text=171%2F2023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Směrnice</w:t>
      </w:r>
      <w:r w:rsidDel="00000000" w:rsidR="00000000" w:rsidRPr="00000000">
        <w:rPr>
          <w:sz w:val="18"/>
          <w:szCs w:val="18"/>
          <w:rtl w:val="0"/>
        </w:rPr>
        <w:t xml:space="preserve"> EVROPSKÉHO PARLAMENTU A RADY (EU) 2019/1937, o ochraně osob, které oznamují porušení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práva Unie</w:t>
      </w:r>
      <w:r w:rsidDel="00000000" w:rsidR="00000000" w:rsidRPr="00000000">
        <w:rPr>
          <w:sz w:val="18"/>
          <w:szCs w:val="18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https://eur-lex.europa.eu/legal-content/CS/TXT/HTML/?uri=CELEX:32019L1937&amp;from=CS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--------------------------------------------------</w:t>
      </w:r>
    </w:p>
    <w:p w:rsidR="00000000" w:rsidDel="00000000" w:rsidP="00000000" w:rsidRDefault="00000000" w:rsidRPr="00000000" w14:paraId="00000036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i w:val="1"/>
          <w:sz w:val="18"/>
          <w:szCs w:val="18"/>
          <w:vertAlign w:val="superscript"/>
        </w:rPr>
      </w:pPr>
      <w:r w:rsidDel="00000000" w:rsidR="00000000" w:rsidRPr="00000000">
        <w:rPr>
          <w:i w:val="1"/>
          <w:sz w:val="18"/>
          <w:szCs w:val="18"/>
          <w:vertAlign w:val="superscript"/>
          <w:rtl w:val="0"/>
        </w:rPr>
        <w:t xml:space="preserve">1) </w:t>
      </w:r>
    </w:p>
    <w:p w:rsidR="00000000" w:rsidDel="00000000" w:rsidP="00000000" w:rsidRDefault="00000000" w:rsidRPr="00000000" w14:paraId="00000037">
      <w:p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Prací nebo jinou obdobnou činností se rozumí: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before="120"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závislá práce vykonávána v základním pracovněprávním vztahu,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služba (podle zákonů o vojácích z povolání, o služebním poměru příslušníků bezpečnostních sborů, o státní službě, vždy ve znění pozdějších předpisů,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samostatná výdělečná činnost,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výkon práv spojených s účastí v právnické osobě,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výkon funkce člena orgánu právnické osoby,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plnění úkolů v rámci činnosti právnické osoby, v jejím zájmu, jejím jménem nebo na její účet,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správa svěřeneckého fondu,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dobrovolnická činnost,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odborná praxe, stáž,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výkon práv a povinností vyplývajících ze smlouvy, jejímž předmětem je poskytování dodávek, služeb, stavebních prací nebo jiného obdobného plnění,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leader="none" w:pos="567"/>
          <w:tab w:val="left" w:leader="none" w:pos="1701"/>
          <w:tab w:val="left" w:leader="none" w:pos="3060"/>
          <w:tab w:val="left" w:leader="none" w:pos="3600"/>
        </w:tabs>
        <w:spacing w:line="240" w:lineRule="auto"/>
        <w:ind w:left="567" w:hanging="283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ucházení se o práci nebo jinou obdobnou činnost.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righ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579" w:hanging="360"/>
      </w:pPr>
      <w:rPr/>
    </w:lvl>
    <w:lvl w:ilvl="1">
      <w:start w:val="1"/>
      <w:numFmt w:val="lowerLetter"/>
      <w:lvlText w:val="%2."/>
      <w:lvlJc w:val="left"/>
      <w:pPr>
        <w:ind w:left="1299" w:hanging="360"/>
      </w:pPr>
      <w:rPr/>
    </w:lvl>
    <w:lvl w:ilvl="2">
      <w:start w:val="1"/>
      <w:numFmt w:val="lowerRoman"/>
      <w:lvlText w:val="%3."/>
      <w:lvlJc w:val="right"/>
      <w:pPr>
        <w:ind w:left="2019" w:hanging="180"/>
      </w:pPr>
      <w:rPr/>
    </w:lvl>
    <w:lvl w:ilvl="3">
      <w:start w:val="1"/>
      <w:numFmt w:val="decimal"/>
      <w:lvlText w:val="%4."/>
      <w:lvlJc w:val="left"/>
      <w:pPr>
        <w:ind w:left="2739" w:hanging="360"/>
      </w:pPr>
      <w:rPr/>
    </w:lvl>
    <w:lvl w:ilvl="4">
      <w:start w:val="1"/>
      <w:numFmt w:val="lowerLetter"/>
      <w:lvlText w:val="%5."/>
      <w:lvlJc w:val="left"/>
      <w:pPr>
        <w:ind w:left="3459" w:hanging="360"/>
      </w:pPr>
      <w:rPr/>
    </w:lvl>
    <w:lvl w:ilvl="5">
      <w:start w:val="1"/>
      <w:numFmt w:val="lowerRoman"/>
      <w:lvlText w:val="%6."/>
      <w:lvlJc w:val="right"/>
      <w:pPr>
        <w:ind w:left="4179" w:hanging="180"/>
      </w:pPr>
      <w:rPr/>
    </w:lvl>
    <w:lvl w:ilvl="6">
      <w:start w:val="1"/>
      <w:numFmt w:val="decimal"/>
      <w:lvlText w:val="%7."/>
      <w:lvlJc w:val="left"/>
      <w:pPr>
        <w:ind w:left="4899" w:hanging="360"/>
      </w:pPr>
      <w:rPr/>
    </w:lvl>
    <w:lvl w:ilvl="7">
      <w:start w:val="1"/>
      <w:numFmt w:val="lowerLetter"/>
      <w:lvlText w:val="%8."/>
      <w:lvlJc w:val="left"/>
      <w:pPr>
        <w:ind w:left="5619" w:hanging="360"/>
      </w:pPr>
      <w:rPr/>
    </w:lvl>
    <w:lvl w:ilvl="8">
      <w:start w:val="1"/>
      <w:numFmt w:val="lowerRoman"/>
      <w:lvlText w:val="%9."/>
      <w:lvlJc w:val="right"/>
      <w:pPr>
        <w:ind w:left="6339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-lex.europa.eu/legal-content/CS/TXT/HTML/?uri=CELEX:32019L1937&amp;from=CS" TargetMode="External"/><Relationship Id="rId5" Type="http://schemas.openxmlformats.org/officeDocument/2006/relationships/styles" Target="styles.xml"/><Relationship Id="rId6" Type="http://schemas.openxmlformats.org/officeDocument/2006/relationships/hyperlink" Target="mailto:oznameni.zooz@medk.cz" TargetMode="External"/><Relationship Id="rId7" Type="http://schemas.openxmlformats.org/officeDocument/2006/relationships/hyperlink" Target="https://oznamovatel.justice.cz/" TargetMode="External"/><Relationship Id="rId8" Type="http://schemas.openxmlformats.org/officeDocument/2006/relationships/hyperlink" Target="https://www.zakonyprolidi.cz/cs/2023-171?text=171%2F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